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566"/>
        <w:jc w:val="center"/>
      </w:pPr>
      <w:r>
        <w:rPr>
          <w:b/>
          <w:bCs/>
          <w:i/>
          <w:iCs/>
          <w:color w:val="000000"/>
          <w:shd w:val="clear" w:color="auto" w:fill="ffffff"/>
        </w:rPr>
        <w:t xml:space="preserve">«</w:t>
      </w:r>
      <w:r>
        <w:rPr>
          <w:b/>
          <w:bCs/>
          <w:color w:val="000000"/>
          <w:shd w:val="clear" w:color="auto" w:fill="ffffff"/>
        </w:rPr>
        <w:t xml:space="preserve">САНКТ-ПЕТЕРБУРГСКИЙ ПОЛИТЕХНИЧЕСКИЙ УНИВЕРСИТЕТ ПЕТРА ВЕЛИКОГО»</w:t>
      </w:r>
      <w:r/>
    </w:p>
    <w:p>
      <w:pPr>
        <w:jc w:val="both"/>
        <w:rPr>
          <w:rFonts w:ascii="Courier New" w:hAnsi="Courier New" w:cs="Courier New"/>
          <w:sz w:val="20"/>
          <w:szCs w:val="20"/>
        </w:rPr>
      </w:pPr>
      <w:r>
        <w:t xml:space="preserve"> </w:t>
      </w:r>
      <w:r/>
    </w:p>
    <w:p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</w:r>
      <w:r/>
    </w:p>
    <w:p>
      <w:pPr>
        <w:jc w:val="both"/>
        <w:rPr>
          <w:rFonts w:ascii="Courier New" w:hAnsi="Courier New" w:cs="Courier New"/>
          <w:sz w:val="28"/>
          <w:szCs w:val="28"/>
          <w:lang w:eastAsia="en-US"/>
        </w:rPr>
      </w:pPr>
      <w:r>
        <w:rPr>
          <w:rFonts w:ascii="Courier New" w:hAnsi="Courier New" w:cs="Courier New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" behindDoc="1" locked="0" layoutInCell="0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182245</wp:posOffset>
                </wp:positionV>
                <wp:extent cx="3378200" cy="1104900"/>
                <wp:effectExtent l="0" t="0" r="0" b="0"/>
                <wp:wrapNone/>
                <wp:docPr id="3" name="Рисунок 6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6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rcRect l="-11" t="-33" r="-10" b="-33"/>
                        <a:stretch/>
                      </pic:blipFill>
                      <pic:spPr bwMode="auto">
                        <a:xfrm>
                          <a:off x="0" y="0"/>
                          <a:ext cx="33782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-9;o:allowoverlap:true;o:allowincell:false;mso-position-horizontal-relative:text;margin-left:19.1pt;mso-position-horizontal:absolute;mso-position-vertical-relative:text;margin-top:14.3pt;mso-position-vertical:absolute;width:266.0pt;height:87.0pt;" stroked="false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</w:r>
      <w:r/>
    </w:p>
    <w:p>
      <w:pPr>
        <w:jc w:val="right"/>
        <w:rPr>
          <w:rFonts w:ascii="Courier New" w:hAnsi="Courier New" w:cs="Courier New"/>
          <w:bCs/>
          <w:sz w:val="22"/>
          <w:szCs w:val="20"/>
        </w:rPr>
      </w:pPr>
      <w:r>
        <w:rPr>
          <w:rFonts w:ascii="Courier New" w:hAnsi="Courier New" w:cs="Courier New"/>
          <w:bCs/>
          <w:sz w:val="22"/>
          <w:szCs w:val="20"/>
        </w:rPr>
      </w:r>
      <w:r/>
    </w:p>
    <w:p>
      <w:pPr>
        <w:jc w:val="right"/>
        <w:rPr>
          <w:rFonts w:ascii="Courier New" w:hAnsi="Courier New" w:cs="Courier New"/>
          <w:bCs/>
          <w:sz w:val="22"/>
          <w:szCs w:val="20"/>
        </w:rPr>
      </w:pPr>
      <w:r>
        <w:rPr>
          <w:rFonts w:ascii="Courier New" w:hAnsi="Courier New" w:cs="Courier New"/>
          <w:bCs/>
          <w:sz w:val="22"/>
          <w:szCs w:val="20"/>
        </w:rPr>
      </w:r>
      <w:r/>
    </w:p>
    <w:p>
      <w:pPr>
        <w:jc w:val="right"/>
        <w:rPr>
          <w:rFonts w:ascii="Courier New" w:hAnsi="Courier New" w:cs="Courier New"/>
          <w:bCs/>
          <w:sz w:val="22"/>
          <w:szCs w:val="20"/>
        </w:rPr>
      </w:pPr>
      <w:r>
        <w:rPr>
          <w:rFonts w:ascii="Courier New" w:hAnsi="Courier New" w:cs="Courier New"/>
          <w:bCs/>
          <w:sz w:val="22"/>
          <w:szCs w:val="20"/>
        </w:rPr>
      </w:r>
      <w:r/>
    </w:p>
    <w:p>
      <w:pPr>
        <w:jc w:val="both"/>
        <w:rPr>
          <w:rFonts w:ascii="Courier New" w:hAnsi="Courier New" w:cs="Courier New"/>
          <w:bCs/>
          <w:sz w:val="22"/>
          <w:szCs w:val="20"/>
        </w:rPr>
      </w:pPr>
      <w:r>
        <w:rPr>
          <w:rFonts w:ascii="Courier New" w:hAnsi="Courier New" w:cs="Courier New"/>
          <w:bCs/>
          <w:sz w:val="22"/>
          <w:szCs w:val="20"/>
        </w:rPr>
      </w:r>
      <w:r/>
    </w:p>
    <w:p>
      <w:pPr>
        <w:jc w:val="both"/>
      </w:pPr>
      <w:r>
        <w:t xml:space="preserve"> </w:t>
      </w:r>
      <w:r/>
    </w:p>
    <w:p>
      <w:pPr>
        <w:jc w:val="both"/>
      </w:pPr>
      <w:r/>
      <w:r/>
    </w:p>
    <w:p>
      <w:pPr>
        <w:jc w:val="both"/>
      </w:pPr>
      <w:r>
        <w:t xml:space="preserve"> </w:t>
      </w:r>
      <w:r/>
    </w:p>
    <w:p>
      <w:pPr>
        <w:jc w:val="both"/>
      </w:pPr>
      <w:r>
        <w:t xml:space="preserve"> </w:t>
      </w:r>
      <w:r/>
    </w:p>
    <w:p>
      <w:pPr>
        <w:jc w:val="both"/>
      </w:pPr>
      <w:r>
        <w:t xml:space="preserve"> </w:t>
      </w:r>
      <w:r/>
    </w:p>
    <w:p>
      <w:pPr>
        <w:jc w:val="both"/>
      </w:pPr>
      <w:r>
        <w:t xml:space="preserve"> 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 </w:t>
      </w:r>
      <w:r/>
    </w:p>
    <w:p>
      <w:pPr>
        <w:ind w:right="56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РЕКОМЕНДАЦИИ </w:t>
      </w:r>
      <w:r/>
    </w:p>
    <w:p>
      <w:pPr>
        <w:ind w:right="56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 ЗАЩИТЕ ОТ ФИШИНГОВЫХ АТАК</w:t>
      </w:r>
      <w:r/>
    </w:p>
    <w:p>
      <w:pPr>
        <w:ind w:right="566"/>
        <w:jc w:val="center"/>
      </w:pPr>
      <w:r/>
      <w:r/>
    </w:p>
    <w:p>
      <w:pPr>
        <w:jc w:val="both"/>
      </w:pPr>
      <w:r>
        <w:t xml:space="preserve"> </w:t>
      </w:r>
      <w:r/>
    </w:p>
    <w:p>
      <w:pPr>
        <w:jc w:val="both"/>
      </w:pPr>
      <w:r>
        <w:t xml:space="preserve"> </w:t>
      </w:r>
      <w:r/>
    </w:p>
    <w:p>
      <w:pPr>
        <w:jc w:val="both"/>
      </w:pPr>
      <w:r>
        <w:t xml:space="preserve"> </w:t>
      </w:r>
      <w:r/>
    </w:p>
    <w:p>
      <w:pPr>
        <w:jc w:val="both"/>
      </w:pPr>
      <w:r>
        <w:t xml:space="preserve"> </w:t>
      </w:r>
      <w:r/>
    </w:p>
    <w:p>
      <w:pPr>
        <w:jc w:val="both"/>
      </w:pPr>
      <w:r>
        <w:t xml:space="preserve">  </w:t>
      </w:r>
      <w:r/>
    </w:p>
    <w:p>
      <w:pPr>
        <w:jc w:val="both"/>
      </w:pPr>
      <w:r>
        <w:t xml:space="preserve"> </w:t>
      </w:r>
      <w:r/>
    </w:p>
    <w:p>
      <w:pPr>
        <w:jc w:val="both"/>
      </w:pPr>
      <w:r>
        <w:t xml:space="preserve"> </w:t>
      </w:r>
      <w:r/>
    </w:p>
    <w:p>
      <w:pPr>
        <w:jc w:val="both"/>
      </w:pPr>
      <w:r>
        <w:t xml:space="preserve"> </w:t>
      </w:r>
      <w:r/>
    </w:p>
    <w:p>
      <w:pPr>
        <w:jc w:val="both"/>
      </w:pPr>
      <w:r>
        <w:t xml:space="preserve"> </w:t>
      </w:r>
      <w:r/>
    </w:p>
    <w:p>
      <w:pPr>
        <w:jc w:val="both"/>
      </w:pPr>
      <w:r/>
      <w:r/>
    </w:p>
    <w:p>
      <w:pPr>
        <w:jc w:val="both"/>
      </w:pPr>
      <w:r>
        <w:t xml:space="preserve"> 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</w:pPr>
      <w:r>
        <w:rPr>
          <w:color w:val="000000"/>
          <w:sz w:val="28"/>
          <w:szCs w:val="28"/>
        </w:rPr>
        <w:t xml:space="preserve">Санкт-Петербург</w:t>
      </w:r>
      <w:r/>
    </w:p>
    <w:p>
      <w:pPr>
        <w:jc w:val="center"/>
        <w:rPr>
          <w:b/>
          <w:lang w:eastAsia="ar-SA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rPr>
          <w:bCs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2025 г.</w:t>
      </w:r>
      <w:r/>
    </w:p>
    <w:p>
      <w:pPr>
        <w:jc w:val="center"/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Типовые схемы фишинговых атак на </w:t>
      </w:r>
      <w:r>
        <w:rPr>
          <w:b/>
          <w:bCs/>
          <w:u w:val="single"/>
        </w:rPr>
        <w:t xml:space="preserve">работников</w:t>
      </w:r>
      <w:r>
        <w:rPr>
          <w:b/>
          <w:bCs/>
          <w:u w:val="single"/>
        </w:rPr>
        <w:t xml:space="preserve"> и </w:t>
      </w:r>
      <w:r>
        <w:rPr>
          <w:b/>
          <w:bCs/>
          <w:u w:val="single"/>
        </w:rPr>
        <w:t xml:space="preserve">обучающихся</w:t>
      </w:r>
      <w:r/>
    </w:p>
    <w:p>
      <w:pPr>
        <w:ind w:firstLine="709"/>
        <w:jc w:val="both"/>
        <w:spacing w:line="276" w:lineRule="auto"/>
        <w:rPr>
          <w:b/>
          <w:bCs/>
        </w:rPr>
      </w:pPr>
      <w:r>
        <w:rPr>
          <w:b/>
          <w:bCs/>
        </w:rPr>
      </w:r>
      <w:r/>
    </w:p>
    <w:p>
      <w:pPr>
        <w:ind w:firstLine="709"/>
        <w:jc w:val="both"/>
        <w:spacing w:line="276" w:lineRule="auto"/>
        <w:rPr>
          <w:b/>
          <w:bCs/>
        </w:rPr>
      </w:pPr>
      <w:r>
        <w:rPr>
          <w:b/>
          <w:bCs/>
        </w:rPr>
        <w:t xml:space="preserve">Самозапрет на кредит</w:t>
      </w:r>
      <w:r/>
    </w:p>
    <w:p>
      <w:pPr>
        <w:ind w:firstLine="709"/>
        <w:jc w:val="both"/>
        <w:spacing w:line="276" w:lineRule="auto"/>
      </w:pPr>
      <w:r>
        <w:t xml:space="preserve">Злоумышленник осуществляет звонок по сотовой связи или с использованием одного из мессенджеров, представляясь сотрудником портала «Госуслуги», </w:t>
      </w:r>
      <w:r>
        <w:t xml:space="preserve">и </w:t>
      </w:r>
      <w:r>
        <w:t xml:space="preserve">сообщает о технической ошибке при установлении самозапрета </w:t>
      </w:r>
      <w:r>
        <w:t xml:space="preserve">н</w:t>
      </w:r>
      <w:r>
        <w:t xml:space="preserve">а кредит. Далее для исправления заявления злоумышленник просит перейти по направленной в мессенджере ссылке. При переходе по указанной ссылке пользователь попадает на веб-сайт, </w:t>
      </w:r>
      <w:r>
        <w:t xml:space="preserve">имитирующий</w:t>
      </w:r>
      <w:r>
        <w:t xml:space="preserve"> портал «Госуслуги», </w:t>
      </w:r>
      <w:r>
        <w:t xml:space="preserve">и </w:t>
      </w:r>
      <w:r>
        <w:t xml:space="preserve">вводит свои аутентификационные данные.</w:t>
      </w:r>
      <w:r>
        <w:rPr>
          <w:b/>
          <w:bCs/>
        </w:rPr>
        <w:t xml:space="preserve"> </w:t>
      </w:r>
      <w:r>
        <w:rPr>
          <w:bCs/>
        </w:rPr>
        <w:t xml:space="preserve">Далее</w:t>
      </w:r>
      <w:r>
        <w:rPr>
          <w:bCs/>
        </w:rPr>
        <w:t xml:space="preserve"> с использованием указанных аут</w:t>
      </w:r>
      <w:r>
        <w:rPr>
          <w:bCs/>
        </w:rPr>
        <w:t xml:space="preserve">енти</w:t>
      </w:r>
      <w:r>
        <w:rPr>
          <w:bCs/>
        </w:rPr>
        <w:t xml:space="preserve">фикационных дан</w:t>
      </w:r>
      <w:r>
        <w:rPr>
          <w:bCs/>
        </w:rPr>
        <w:t xml:space="preserve">ных злоумышленник может получить доступ к </w:t>
      </w:r>
      <w:r>
        <w:rPr>
          <w:bCs/>
        </w:rPr>
        <w:t xml:space="preserve">личному кабинету на </w:t>
      </w:r>
      <w:r>
        <w:rPr>
          <w:bCs/>
        </w:rPr>
        <w:t xml:space="preserve">настоящем </w:t>
      </w:r>
      <w:r>
        <w:t xml:space="preserve">портал</w:t>
      </w:r>
      <w:r>
        <w:t xml:space="preserve">е</w:t>
      </w:r>
      <w:r>
        <w:t xml:space="preserve"> «Госуслуги».</w:t>
      </w:r>
      <w:r/>
    </w:p>
    <w:p>
      <w:pPr>
        <w:ind w:firstLine="709"/>
        <w:jc w:val="both"/>
        <w:spacing w:line="276" w:lineRule="auto"/>
        <w:rPr>
          <w:b/>
          <w:bCs/>
        </w:rPr>
      </w:pPr>
      <w:r>
        <w:rPr>
          <w:b/>
          <w:bCs/>
        </w:rPr>
        <w:t xml:space="preserve">Смерть близкого человека</w:t>
      </w:r>
      <w:r/>
    </w:p>
    <w:p>
      <w:pPr>
        <w:ind w:firstLine="709"/>
        <w:jc w:val="both"/>
        <w:spacing w:line="276" w:lineRule="auto"/>
      </w:pPr>
      <w:r>
        <w:t xml:space="preserve">Злоумышленник</w:t>
      </w:r>
      <w:r>
        <w:t xml:space="preserve"> </w:t>
      </w:r>
      <w:r>
        <w:rPr>
          <w:lang w:eastAsia="en-US"/>
        </w:rPr>
        <w:t xml:space="preserve">с использованием одного из мессенджеров</w:t>
      </w:r>
      <w:r>
        <w:t xml:space="preserve"> отправляет сообщение о смерти близкого человека, </w:t>
      </w:r>
      <w:r>
        <w:t xml:space="preserve">прикрепля</w:t>
      </w:r>
      <w:r>
        <w:t xml:space="preserve">я</w:t>
      </w:r>
      <w:r>
        <w:t xml:space="preserve"> вирусный файл под видом фотографии «умершего».</w:t>
      </w:r>
      <w:r>
        <w:t xml:space="preserve"> Находясь в состоянии стресса, пользователь может</w:t>
      </w:r>
      <w:r>
        <w:t xml:space="preserve"> </w:t>
      </w:r>
      <w:r>
        <w:t xml:space="preserve">открыть</w:t>
      </w:r>
      <w:r>
        <w:t xml:space="preserve"> прикрепл</w:t>
      </w:r>
      <w:r>
        <w:t xml:space="preserve">е</w:t>
      </w:r>
      <w:r>
        <w:t xml:space="preserve">нный файл. В результате </w:t>
      </w:r>
      <w:r>
        <w:t xml:space="preserve">запуска вредоносного файла злоумышленник может получить доступ к личным данным</w:t>
      </w:r>
      <w:r>
        <w:t xml:space="preserve"> пользователя</w:t>
      </w:r>
      <w:r>
        <w:t xml:space="preserve">, хранящимся на устройстве, а также</w:t>
      </w:r>
      <w:r>
        <w:t xml:space="preserve"> </w:t>
      </w:r>
      <w:r>
        <w:t xml:space="preserve">далее по цепочке отправить аналогичное сообщение </w:t>
      </w:r>
      <w:r>
        <w:t xml:space="preserve">всем контактам</w:t>
      </w:r>
      <w:r>
        <w:t xml:space="preserve"> пользователя</w:t>
      </w:r>
      <w:r>
        <w:t xml:space="preserve">.</w:t>
      </w:r>
      <w:r/>
    </w:p>
    <w:p>
      <w:pPr>
        <w:ind w:firstLine="709"/>
        <w:jc w:val="both"/>
        <w:spacing w:line="276" w:lineRule="auto"/>
        <w:rPr>
          <w:b/>
          <w:bCs/>
        </w:rPr>
      </w:pPr>
      <w:r>
        <w:rPr>
          <w:b/>
          <w:bCs/>
        </w:rPr>
        <w:t xml:space="preserve">Скачай приложение для защиты</w:t>
      </w:r>
      <w:r/>
    </w:p>
    <w:p>
      <w:pPr>
        <w:ind w:firstLine="709"/>
        <w:jc w:val="both"/>
        <w:spacing w:line="276" w:lineRule="auto"/>
      </w:pPr>
      <w:r>
        <w:t xml:space="preserve">Злоумышленник осуществляет звонок по сотовой связи или с использованием одного из мессенджеров, представляясь сотрудником службы</w:t>
      </w:r>
      <w:r>
        <w:t xml:space="preserve"> безопасности Центробанка РФ</w:t>
      </w:r>
      <w:r>
        <w:t xml:space="preserve">,</w:t>
      </w:r>
      <w:r>
        <w:t xml:space="preserve"> </w:t>
      </w:r>
      <w:r>
        <w:t xml:space="preserve">и </w:t>
      </w:r>
      <w:r>
        <w:t xml:space="preserve">настоятельно просит</w:t>
      </w:r>
      <w:r>
        <w:t xml:space="preserve"> скачать приложение, которое якобы предотвратит кражу денег во время звонка.</w:t>
      </w:r>
      <w:r>
        <w:t xml:space="preserve"> </w:t>
      </w:r>
      <w:r>
        <w:t xml:space="preserve">Злоумышленник пытается вызвать панику, убеждая, что прям</w:t>
      </w:r>
      <w:r>
        <w:t xml:space="preserve">о сейчас производятся противоправные действия</w:t>
      </w:r>
      <w:r>
        <w:t xml:space="preserve">,</w:t>
      </w:r>
      <w:r>
        <w:t xml:space="preserve"> </w:t>
      </w:r>
      <w:r>
        <w:t xml:space="preserve">и необходимо</w:t>
      </w:r>
      <w:r>
        <w:t xml:space="preserve"> срочно принять меры. </w:t>
      </w:r>
      <w:r>
        <w:t xml:space="preserve">В ряде случаев фишинговое</w:t>
      </w:r>
      <w:r>
        <w:t xml:space="preserve"> приложение </w:t>
      </w:r>
      <w:r>
        <w:t xml:space="preserve">злоумышленникам удается разместить в </w:t>
      </w:r>
      <w:r>
        <w:t xml:space="preserve">официальном магазине приложений Google Play. </w:t>
      </w:r>
      <w:r>
        <w:t xml:space="preserve">После установке приложения злоумышленник</w:t>
      </w:r>
      <w:r>
        <w:t xml:space="preserve"> перехватывает всю информацию с </w:t>
      </w:r>
      <w:r>
        <w:t xml:space="preserve">устройства (в т.ч. звонки и СМС-сообщения)</w:t>
      </w:r>
      <w:r>
        <w:t xml:space="preserve">. </w:t>
      </w:r>
      <w:r>
        <w:t xml:space="preserve">Далее злоумышленник может получить</w:t>
      </w:r>
      <w:r>
        <w:t xml:space="preserve"> доступ к </w:t>
      </w:r>
      <w:r>
        <w:t xml:space="preserve">личному кабинету </w:t>
      </w:r>
      <w:r>
        <w:t xml:space="preserve">на портале</w:t>
      </w:r>
      <w:r>
        <w:t xml:space="preserve"> «Госуслуг</w:t>
      </w:r>
      <w:r>
        <w:t xml:space="preserve">и</w:t>
      </w:r>
      <w:r>
        <w:t xml:space="preserve">» и приложениям банков</w:t>
      </w:r>
      <w:r>
        <w:t xml:space="preserve">.</w:t>
      </w:r>
      <w:r/>
    </w:p>
    <w:p>
      <w:pPr>
        <w:ind w:firstLine="709"/>
        <w:jc w:val="both"/>
        <w:spacing w:line="276" w:lineRule="auto"/>
        <w:rPr>
          <w:b/>
          <w:bCs/>
        </w:rPr>
      </w:pPr>
      <w:r>
        <w:rPr>
          <w:b/>
          <w:bCs/>
        </w:rPr>
        <w:t xml:space="preserve">Звонок от помощника судьи</w:t>
      </w:r>
      <w:r/>
    </w:p>
    <w:p>
      <w:pPr>
        <w:ind w:firstLine="709"/>
        <w:jc w:val="both"/>
        <w:spacing w:line="276" w:lineRule="auto"/>
      </w:pPr>
      <w:r>
        <w:t xml:space="preserve">Злоумышленник осуществляет звонок по сотовой связи или с использованием одного из мессенджеров, представляясь сотрудником суда, и сообщает о </w:t>
      </w:r>
      <w:r>
        <w:t xml:space="preserve">рассмотрении</w:t>
      </w:r>
      <w:r>
        <w:t xml:space="preserve"> судебного дела. Далее злоумышленник </w:t>
      </w:r>
      <w:r>
        <w:t xml:space="preserve">информирует</w:t>
      </w:r>
      <w:r>
        <w:t xml:space="preserve"> о назначении судебного заседания и просит подтвердить явку или согласие на рассмотрение дела без участия гражданина. Для подтверждения решения злоумышленник требует назвать код, содержащийся в полученном СМС-сообщении. На самом деле этот код </w:t>
      </w:r>
      <w:r>
        <w:t xml:space="preserve">–</w:t>
      </w:r>
      <w:r>
        <w:t xml:space="preserve"> подтверждение смены </w:t>
      </w:r>
      <w:r>
        <w:t xml:space="preserve">пароля от личного кабинета на п</w:t>
      </w:r>
      <w:r>
        <w:t xml:space="preserve">о</w:t>
      </w:r>
      <w:r>
        <w:t xml:space="preserve">р</w:t>
      </w:r>
      <w:r>
        <w:t xml:space="preserve">тале «Госуслуги». </w:t>
      </w:r>
      <w:r>
        <w:t xml:space="preserve">Далее злоумышленник может получить</w:t>
      </w:r>
      <w:r>
        <w:t xml:space="preserve"> доступ к </w:t>
      </w:r>
      <w:r>
        <w:t xml:space="preserve">личному кабинету </w:t>
      </w:r>
      <w:r>
        <w:t xml:space="preserve">на портале</w:t>
      </w:r>
      <w:r>
        <w:t xml:space="preserve"> «Госуслуг</w:t>
      </w:r>
      <w:r>
        <w:t xml:space="preserve">и</w:t>
      </w:r>
      <w:r>
        <w:t xml:space="preserve">».</w:t>
      </w:r>
      <w:r/>
    </w:p>
    <w:p>
      <w:pPr>
        <w:ind w:firstLine="709"/>
        <w:jc w:val="both"/>
        <w:spacing w:line="276" w:lineRule="auto"/>
        <w:rPr>
          <w:b/>
          <w:bCs/>
        </w:rPr>
      </w:pPr>
      <w:r>
        <w:rPr>
          <w:b/>
          <w:bCs/>
        </w:rPr>
        <w:t xml:space="preserve">Проверка телефонной линии</w:t>
      </w:r>
      <w:r/>
    </w:p>
    <w:p>
      <w:pPr>
        <w:ind w:firstLine="709"/>
        <w:jc w:val="both"/>
        <w:spacing w:line="276" w:lineRule="auto"/>
      </w:pPr>
      <w:r>
        <w:t xml:space="preserve">Злоумышленник осуществляет звонок по сотовой связи или с использованием одного из мессенджеров, пре</w:t>
      </w:r>
      <w:r>
        <w:t xml:space="preserve">дставляясь сотрудником оператора</w:t>
      </w:r>
      <w:r>
        <w:t xml:space="preserve"> сотовой связи, </w:t>
      </w:r>
      <w:r>
        <w:t xml:space="preserve">и </w:t>
      </w:r>
      <w:r>
        <w:t xml:space="preserve">сообщает</w:t>
      </w:r>
      <w:r>
        <w:t xml:space="preserve"> </w:t>
      </w:r>
      <w:r>
        <w:t xml:space="preserve">о</w:t>
      </w:r>
      <w:r>
        <w:t xml:space="preserve"> </w:t>
      </w:r>
      <w:r>
        <w:t xml:space="preserve">необходимости проверить телефонную линию</w:t>
      </w:r>
      <w:r>
        <w:t xml:space="preserve">. Злоумышленник просит </w:t>
      </w:r>
      <w:r>
        <w:t xml:space="preserve">нажать на</w:t>
      </w:r>
      <w:r>
        <w:t xml:space="preserve"> </w:t>
      </w:r>
      <w:r>
        <w:t xml:space="preserve">телефоне </w:t>
      </w:r>
      <w:r>
        <w:t xml:space="preserve">комбинацию клавиш</w:t>
      </w:r>
      <w:r>
        <w:t xml:space="preserve"> #90 или #09. Е</w:t>
      </w:r>
      <w:r>
        <w:t xml:space="preserve">сли ввести данн</w:t>
      </w:r>
      <w:r>
        <w:t xml:space="preserve">ую комбинацию, то злоумышленник получи</w:t>
      </w:r>
      <w:r>
        <w:t xml:space="preserve">т полный доступ к </w:t>
      </w:r>
      <w:r>
        <w:t xml:space="preserve">SIM–</w:t>
      </w:r>
      <w:r>
        <w:t xml:space="preserve">карте. </w:t>
      </w:r>
      <w:r>
        <w:t xml:space="preserve">Получив полный контроль над SIM–картой</w:t>
      </w:r>
      <w:r>
        <w:t xml:space="preserve">,</w:t>
      </w:r>
      <w:r>
        <w:t xml:space="preserve"> </w:t>
      </w:r>
      <w:r>
        <w:t xml:space="preserve">злоумышленник</w:t>
      </w:r>
      <w:r>
        <w:t xml:space="preserve"> может снять средства с </w:t>
      </w:r>
      <w:r>
        <w:t xml:space="preserve">баланса номера телефона, войти в мессенджеры, </w:t>
      </w:r>
      <w:r>
        <w:t xml:space="preserve">личны</w:t>
      </w:r>
      <w:r>
        <w:t xml:space="preserve">й</w:t>
      </w:r>
      <w:r>
        <w:t xml:space="preserve"> кабинет</w:t>
      </w:r>
      <w:r>
        <w:t xml:space="preserve"> на портале</w:t>
      </w:r>
      <w:r>
        <w:t xml:space="preserve"> «Госуслуг</w:t>
      </w:r>
      <w:r>
        <w:t xml:space="preserve">и</w:t>
      </w:r>
      <w:r>
        <w:t xml:space="preserve">» и </w:t>
      </w:r>
      <w:r>
        <w:t xml:space="preserve">банковские приложения</w:t>
      </w:r>
      <w:r>
        <w:t xml:space="preserve"> для </w:t>
      </w:r>
      <w:r>
        <w:t xml:space="preserve">оформления</w:t>
      </w:r>
      <w:r>
        <w:t xml:space="preserve"> кредитов и кражи денег.</w:t>
      </w:r>
      <w:r/>
    </w:p>
    <w:p>
      <w:pPr>
        <w:jc w:val="center"/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Рекомендации</w:t>
      </w:r>
      <w:r>
        <w:rPr>
          <w:b/>
          <w:bCs/>
          <w:u w:val="single"/>
        </w:rPr>
        <w:t xml:space="preserve"> по защите от фишинговых атак</w:t>
      </w:r>
      <w:r/>
    </w:p>
    <w:p>
      <w:pPr>
        <w:ind w:firstLine="709"/>
        <w:jc w:val="both"/>
        <w:spacing w:line="276" w:lineRule="auto"/>
      </w:pPr>
      <w:r/>
      <w:r/>
    </w:p>
    <w:p>
      <w:pPr>
        <w:ind w:firstLine="709"/>
        <w:jc w:val="both"/>
        <w:spacing w:line="276" w:lineRule="auto"/>
      </w:pPr>
      <w:r>
        <w:t xml:space="preserve">Соб</w:t>
      </w:r>
      <w:r>
        <w:t xml:space="preserve">людайте бдительность, не отвечайте на подобные звонки и сообщения, не переводите деньги, не сообщайте злоумышленникам персональные данные, логины и пароли к информационным системам, а также не передавайте сведения, составляющие конфиденциальную информацию.</w:t>
      </w:r>
      <w:r>
        <w:t xml:space="preserve"> </w:t>
      </w:r>
      <w:r/>
    </w:p>
    <w:p>
      <w:pPr>
        <w:ind w:firstLine="709"/>
        <w:jc w:val="both"/>
        <w:spacing w:line="276" w:lineRule="auto"/>
      </w:pPr>
      <w:r>
        <w:t xml:space="preserve">Не открывайте </w:t>
      </w:r>
      <w:r>
        <w:t xml:space="preserve">файлы от незнакомых людей и не скачива</w:t>
      </w:r>
      <w:r>
        <w:t xml:space="preserve">йте</w:t>
      </w:r>
      <w:r>
        <w:t xml:space="preserve"> неизвестные приложения.</w:t>
      </w:r>
      <w:r/>
    </w:p>
    <w:p>
      <w:pPr>
        <w:ind w:firstLine="709"/>
        <w:jc w:val="both"/>
        <w:spacing w:line="276" w:lineRule="auto"/>
      </w:pPr>
      <w:r>
        <w:t xml:space="preserve">Установите на телефон определитель номера (например, Kaspersky Who Calls или бесплатный определитель номера Яндекса).</w:t>
      </w:r>
      <w:r/>
    </w:p>
    <w:p>
      <w:pPr>
        <w:ind w:firstLine="709"/>
        <w:jc w:val="both"/>
        <w:spacing w:line="276" w:lineRule="auto"/>
      </w:pPr>
      <w:r>
        <w:t xml:space="preserve">Запретите </w:t>
      </w:r>
      <w:r>
        <w:t xml:space="preserve">в мессенджерах </w:t>
      </w:r>
      <w:r>
        <w:rPr>
          <w:lang w:val="en-US"/>
        </w:rPr>
        <w:t xml:space="preserve">Telegram</w:t>
      </w:r>
      <w:r>
        <w:t xml:space="preserve"> </w:t>
      </w:r>
      <w:r>
        <w:t xml:space="preserve">и </w:t>
      </w:r>
      <w:r>
        <w:rPr>
          <w:lang w:val="en-US"/>
        </w:rPr>
        <w:t xml:space="preserve">WhatsApp</w:t>
      </w:r>
      <w:r>
        <w:t xml:space="preserve"> </w:t>
      </w:r>
      <w:r>
        <w:t xml:space="preserve">получение звонков с незнакомых номеров:</w:t>
      </w:r>
      <w:r/>
    </w:p>
    <w:p>
      <w:pPr>
        <w:ind w:firstLine="709"/>
        <w:jc w:val="both"/>
        <w:spacing w:line="276" w:lineRule="auto"/>
      </w:pPr>
      <w:r>
        <w:t xml:space="preserve">- о</w:t>
      </w:r>
      <w:r>
        <w:t xml:space="preserve">ткройте приложение Telegram и перейдите в раздел «Настройки»</w:t>
      </w:r>
      <w:r>
        <w:t xml:space="preserve">. </w:t>
      </w:r>
      <w:r>
        <w:t xml:space="preserve">В меню выберите раздел «Конфиденциальность» </w:t>
      </w:r>
      <w:r>
        <w:t xml:space="preserve">→ </w:t>
      </w:r>
      <w:r>
        <w:t xml:space="preserve">«Звонки»</w:t>
      </w:r>
      <w:r>
        <w:t xml:space="preserve">. </w:t>
      </w:r>
      <w:r>
        <w:t xml:space="preserve">В разделе «Кто может мне звонить» выберите «Контакты»;</w:t>
      </w:r>
      <w:r/>
    </w:p>
    <w:p>
      <w:pPr>
        <w:ind w:firstLine="709"/>
        <w:jc w:val="both"/>
        <w:spacing w:line="276" w:lineRule="auto"/>
      </w:pPr>
      <w:r>
        <w:t xml:space="preserve">- </w:t>
      </w:r>
      <w:r>
        <w:t xml:space="preserve">о</w:t>
      </w:r>
      <w:r>
        <w:t xml:space="preserve">ткройте приложение </w:t>
      </w:r>
      <w:r>
        <w:rPr>
          <w:lang w:val="en-US"/>
        </w:rPr>
        <w:t xml:space="preserve">WhatsApp</w:t>
      </w:r>
      <w:r>
        <w:t xml:space="preserve"> и перейдите в раздел «Настройки»</w:t>
      </w:r>
      <w:r>
        <w:t xml:space="preserve">. </w:t>
      </w:r>
      <w:r>
        <w:t xml:space="preserve">В меню выберите раздел «Конфиденциальность» </w:t>
      </w:r>
      <w:r>
        <w:t xml:space="preserve">→ </w:t>
      </w:r>
      <w:r>
        <w:t xml:space="preserve">«Звонки»</w:t>
      </w:r>
      <w:r>
        <w:t xml:space="preserve">. </w:t>
      </w:r>
      <w:r>
        <w:t xml:space="preserve">Включите опцию «Отключить звук для неизвестных номеров»</w:t>
      </w:r>
      <w:r>
        <w:t xml:space="preserve">.</w:t>
      </w:r>
      <w:r/>
    </w:p>
    <w:p>
      <w:pPr>
        <w:jc w:val="center"/>
        <w:spacing w:line="276" w:lineRule="auto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33825" cy="2858872"/>
                <wp:effectExtent l="0" t="0" r="0" b="0"/>
                <wp:docPr id="4" name="Рисунок 3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3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rcRect l="2409" t="7079" r="1938" b="26539"/>
                        <a:stretch/>
                      </pic:blipFill>
                      <pic:spPr bwMode="auto">
                        <a:xfrm>
                          <a:off x="0" y="0"/>
                          <a:ext cx="3937293" cy="28613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309.8pt;height:225.1pt;" stroked="f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jc w:val="center"/>
        <w:spacing w:line="276" w:lineRule="auto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81450" cy="2871290"/>
                <wp:effectExtent l="0" t="0" r="0" b="5715"/>
                <wp:docPr id="5" name="Рисунок 5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5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rcRect l="3697" t="7788" r="4816" b="29018"/>
                        <a:stretch/>
                      </pic:blipFill>
                      <pic:spPr bwMode="auto">
                        <a:xfrm>
                          <a:off x="0" y="0"/>
                          <a:ext cx="4004857" cy="2888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313.5pt;height:226.1pt;" stroked="f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ind w:firstLine="709"/>
        <w:jc w:val="both"/>
        <w:spacing w:line="276" w:lineRule="auto"/>
      </w:pPr>
      <w:r>
        <w:t xml:space="preserve">При использовании мессенджеров настройте двухфакторную аутентификацию</w:t>
      </w:r>
      <w:r>
        <w:t xml:space="preserve">. </w:t>
      </w:r>
      <w:r>
        <w:t xml:space="preserve">Если злоумышленники получили доступ к Вашей учетной записи в одном из мессенджеров, можно попытаться ограничить их доступ. Для этого в мессенджере зайдите в меню «Настройки» → «Активные сессии» и нажмите на кнопку</w:t>
      </w:r>
      <w:r>
        <w:t xml:space="preserve"> «Завершить все другие сеансы».</w:t>
      </w:r>
      <w:r/>
    </w:p>
    <w:p>
      <w:pPr>
        <w:ind w:firstLine="709"/>
        <w:jc w:val="both"/>
        <w:spacing w:line="276" w:lineRule="auto"/>
      </w:pPr>
      <w:r>
        <w:t xml:space="preserve">При получении подозрительных звонков и сообщений следует обратиться в Службу поддержки пользователей по телефону +7</w:t>
      </w:r>
      <w:r>
        <w:t xml:space="preserve">-</w:t>
      </w:r>
      <w:r>
        <w:t xml:space="preserve">(812)</w:t>
      </w:r>
      <w:r>
        <w:t xml:space="preserve">-</w:t>
      </w:r>
      <w:r>
        <w:t xml:space="preserve">775-05-10 или электронной почте </w:t>
      </w:r>
      <w:r>
        <w:t xml:space="preserve">support@spbstu.ru</w:t>
      </w:r>
      <w:r>
        <w:t xml:space="preserve">.</w:t>
      </w:r>
      <w:r/>
    </w:p>
    <w:p>
      <w:pPr>
        <w:ind w:firstLine="709"/>
        <w:jc w:val="both"/>
        <w:spacing w:line="276" w:lineRule="auto"/>
      </w:pPr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ind w:right="360" w:firstLine="360"/>
    </w:pPr>
    <w:r>
      <w:t xml:space="preserve"> </w: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44145"/>
              <wp:effectExtent l="0" t="0" r="0" b="0"/>
              <wp:wrapSquare wrapText="bothSides"/>
              <wp:docPr id="2" name="Frame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683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746"/>
                            <w:rPr>
                              <w:rStyle w:val="738"/>
                            </w:rPr>
                          </w:pPr>
                          <w:r>
                            <w:rPr>
                              <w:rStyle w:val="738"/>
                            </w:rPr>
                            <w:fldChar w:fldCharType="begin"/>
                          </w:r>
                          <w:r>
                            <w:rPr>
                              <w:rStyle w:val="738"/>
                            </w:rPr>
                            <w:instrText xml:space="preserve"> PAGE </w:instrText>
                          </w:r>
                          <w:r>
                            <w:rPr>
                              <w:rStyle w:val="738"/>
                            </w:rPr>
                            <w:fldChar w:fldCharType="separate"/>
                          </w:r>
                          <w:r>
                            <w:rPr>
                              <w:rStyle w:val="738"/>
                            </w:rPr>
                            <w:t xml:space="preserve">2</w:t>
                          </w:r>
                          <w:r>
                            <w:rPr>
                              <w:rStyle w:val="738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style="position:absolute;mso-wrap-distance-left:0.0pt;mso-wrap-distance-top:0.0pt;mso-wrap-distance-right:0.0pt;mso-wrap-distance-bottom:0.0pt;z-index:5;o:allowoverlap:true;o:allowincell:false;mso-position-horizontal-relative:margin;mso-position-horizontal:right;mso-position-vertical-relative:text;margin-top:0.0pt;mso-position-vertical:absolute;width:6.0pt;height:11.3pt;v-text-anchor:top;" coordsize="100000,100000" path="" fillcolor="#FFFFFF">
              <v:path textboxrect="0,0,0,0"/>
              <v:fill opacity="100f"/>
              <w10:wrap type="square"/>
              <v:textbox>
                <w:txbxContent>
                  <w:p>
                    <w:pPr>
                      <w:pStyle w:val="746"/>
                      <w:rPr>
                        <w:rStyle w:val="738"/>
                      </w:rPr>
                    </w:pPr>
                    <w:r>
                      <w:rPr>
                        <w:rStyle w:val="738"/>
                      </w:rPr>
                      <w:fldChar w:fldCharType="begin"/>
                    </w:r>
                    <w:r>
                      <w:rPr>
                        <w:rStyle w:val="738"/>
                      </w:rPr>
                      <w:instrText xml:space="preserve"> PAGE </w:instrText>
                    </w:r>
                    <w:r>
                      <w:rPr>
                        <w:rStyle w:val="738"/>
                      </w:rPr>
                      <w:fldChar w:fldCharType="separate"/>
                    </w:r>
                    <w:r>
                      <w:rPr>
                        <w:rStyle w:val="738"/>
                      </w:rPr>
                      <w:t xml:space="preserve">2</w:t>
                    </w:r>
                    <w:r>
                      <w:rPr>
                        <w:rStyle w:val="738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1" name="Frame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745"/>
                            <w:rPr>
                              <w:rStyle w:val="738"/>
                            </w:rPr>
                          </w:pPr>
                          <w:r/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8;o:allowoverlap:true;o:allowincell:false;mso-position-horizontal-relative:margin;mso-position-horizontal:center;mso-position-vertical-relative:text;margin-top:0.0pt;mso-position-vertical:absolute;width:1.1pt;height:13.8pt;v-text-anchor:top;" coordsize="100000,100000" path="" fillcolor="#FFFFFF">
              <v:path textboxrect="0,0,0,0"/>
              <v:fill opacity="100f"/>
              <w10:wrap type="square"/>
              <v:textbox>
                <w:txbxContent>
                  <w:p>
                    <w:pPr>
                      <w:pStyle w:val="745"/>
                      <w:rPr>
                        <w:rStyle w:val="738"/>
                      </w:rPr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none"/>
      <w:pStyle w:val="72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7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7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72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72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29"/>
    <w:link w:val="724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29"/>
    <w:link w:val="725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29"/>
    <w:link w:val="726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29"/>
    <w:link w:val="727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29"/>
    <w:link w:val="728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23"/>
    <w:next w:val="72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2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23"/>
    <w:next w:val="72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2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23"/>
    <w:next w:val="72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2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23"/>
    <w:next w:val="72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2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723"/>
    <w:next w:val="72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29"/>
    <w:link w:val="32"/>
    <w:uiPriority w:val="10"/>
    <w:rPr>
      <w:sz w:val="48"/>
      <w:szCs w:val="48"/>
    </w:rPr>
  </w:style>
  <w:style w:type="paragraph" w:styleId="34">
    <w:name w:val="Subtitle"/>
    <w:basedOn w:val="723"/>
    <w:next w:val="72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29"/>
    <w:link w:val="34"/>
    <w:uiPriority w:val="11"/>
    <w:rPr>
      <w:sz w:val="24"/>
      <w:szCs w:val="24"/>
    </w:rPr>
  </w:style>
  <w:style w:type="paragraph" w:styleId="36">
    <w:name w:val="Quote"/>
    <w:basedOn w:val="723"/>
    <w:next w:val="72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23"/>
    <w:next w:val="72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29"/>
    <w:link w:val="745"/>
    <w:uiPriority w:val="99"/>
  </w:style>
  <w:style w:type="character" w:styleId="43">
    <w:name w:val="Footer Char"/>
    <w:basedOn w:val="729"/>
    <w:link w:val="746"/>
    <w:uiPriority w:val="99"/>
  </w:style>
  <w:style w:type="character" w:styleId="45">
    <w:name w:val="Caption Char"/>
    <w:basedOn w:val="742"/>
    <w:link w:val="746"/>
    <w:uiPriority w:val="99"/>
  </w:style>
  <w:style w:type="table" w:styleId="46">
    <w:name w:val="Table Grid"/>
    <w:basedOn w:val="7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2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29"/>
    <w:uiPriority w:val="99"/>
    <w:unhideWhenUsed/>
    <w:rPr>
      <w:vertAlign w:val="superscript"/>
    </w:rPr>
  </w:style>
  <w:style w:type="paragraph" w:styleId="176">
    <w:name w:val="endnote text"/>
    <w:basedOn w:val="72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29"/>
    <w:uiPriority w:val="99"/>
    <w:semiHidden/>
    <w:unhideWhenUsed/>
    <w:rPr>
      <w:vertAlign w:val="superscript"/>
    </w:rPr>
  </w:style>
  <w:style w:type="paragraph" w:styleId="179">
    <w:name w:val="toc 1"/>
    <w:basedOn w:val="723"/>
    <w:next w:val="72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23"/>
    <w:next w:val="72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23"/>
    <w:next w:val="72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23"/>
    <w:next w:val="72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23"/>
    <w:next w:val="72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23"/>
    <w:next w:val="72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23"/>
    <w:next w:val="72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23"/>
    <w:next w:val="72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23"/>
    <w:next w:val="72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23"/>
    <w:next w:val="723"/>
    <w:uiPriority w:val="99"/>
    <w:unhideWhenUsed/>
    <w:pPr>
      <w:spacing w:after="0" w:afterAutospacing="0"/>
    </w:pPr>
  </w:style>
  <w:style w:type="paragraph" w:styleId="723" w:default="1">
    <w:name w:val="Normal"/>
    <w:qFormat/>
    <w:rPr>
      <w:rFonts w:cs="Times New Roman" w:eastAsia="Times New Roman"/>
      <w:lang w:val="ru-RU" w:bidi="ar-SA"/>
    </w:rPr>
  </w:style>
  <w:style w:type="paragraph" w:styleId="724">
    <w:name w:val="Heading 1"/>
    <w:basedOn w:val="723"/>
    <w:next w:val="723"/>
    <w:qFormat/>
    <w:pPr>
      <w:numPr>
        <w:numId w:val="1"/>
      </w:numPr>
      <w:keepNext/>
      <w:outlineLvl w:val="0"/>
    </w:pPr>
    <w:rPr>
      <w:szCs w:val="20"/>
    </w:rPr>
  </w:style>
  <w:style w:type="paragraph" w:styleId="725">
    <w:name w:val="Heading 2"/>
    <w:basedOn w:val="723"/>
    <w:next w:val="723"/>
    <w:qFormat/>
    <w:pPr>
      <w:numPr>
        <w:ilvl w:val="1"/>
        <w:numId w:val="1"/>
      </w:numPr>
      <w:jc w:val="right"/>
      <w:keepNext/>
      <w:outlineLvl w:val="1"/>
    </w:pPr>
    <w:rPr>
      <w:szCs w:val="20"/>
    </w:rPr>
  </w:style>
  <w:style w:type="paragraph" w:styleId="726">
    <w:name w:val="Heading 3"/>
    <w:basedOn w:val="723"/>
    <w:next w:val="723"/>
    <w:qFormat/>
    <w:pPr>
      <w:numPr>
        <w:ilvl w:val="2"/>
        <w:numId w:val="1"/>
      </w:numPr>
      <w:ind w:left="1032" w:right="-108"/>
      <w:keepNext/>
      <w:outlineLvl w:val="2"/>
    </w:pPr>
    <w:rPr>
      <w:b/>
      <w:sz w:val="28"/>
    </w:rPr>
  </w:style>
  <w:style w:type="paragraph" w:styleId="727">
    <w:name w:val="Heading 4"/>
    <w:basedOn w:val="723"/>
    <w:next w:val="723"/>
    <w:qFormat/>
    <w:pPr>
      <w:numPr>
        <w:ilvl w:val="3"/>
        <w:numId w:val="1"/>
      </w:numPr>
      <w:ind w:right="-108"/>
      <w:keepNext/>
      <w:spacing w:line="360" w:lineRule="auto"/>
      <w:outlineLvl w:val="3"/>
    </w:pPr>
    <w:rPr>
      <w:b/>
      <w:sz w:val="28"/>
    </w:rPr>
  </w:style>
  <w:style w:type="paragraph" w:styleId="728">
    <w:name w:val="Heading 5"/>
    <w:basedOn w:val="723"/>
    <w:next w:val="723"/>
    <w:qFormat/>
    <w:pPr>
      <w:numPr>
        <w:ilvl w:val="4"/>
        <w:numId w:val="1"/>
      </w:numPr>
      <w:ind w:left="405" w:right="-108"/>
      <w:keepNext/>
      <w:spacing w:line="360" w:lineRule="auto"/>
      <w:outlineLvl w:val="4"/>
    </w:pPr>
    <w:rPr>
      <w:b/>
      <w:sz w:val="28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WW8Num1z0"/>
    <w:qFormat/>
  </w:style>
  <w:style w:type="character" w:styleId="733" w:customStyle="1">
    <w:name w:val="WW8Num2z0"/>
    <w:qFormat/>
  </w:style>
  <w:style w:type="character" w:styleId="734">
    <w:name w:val="Hyperlink"/>
    <w:rPr>
      <w:color w:val="0000FF"/>
      <w:u w:val="single"/>
    </w:rPr>
  </w:style>
  <w:style w:type="character" w:styleId="735">
    <w:name w:val="FollowedHyperlink"/>
    <w:rPr>
      <w:color w:val="800080"/>
      <w:u w:val="single"/>
    </w:rPr>
  </w:style>
  <w:style w:type="character" w:styleId="736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737" w:customStyle="1">
    <w:name w:val="Неразрешенное упоминание1"/>
    <w:qFormat/>
    <w:rPr>
      <w:color w:val="605E5C"/>
      <w:shd w:val="clear" w:color="auto" w:fill="e1dfdd"/>
    </w:rPr>
  </w:style>
  <w:style w:type="character" w:styleId="738">
    <w:name w:val="page number"/>
    <w:rPr>
      <w:rFonts w:ascii="Courier New" w:hAnsi="Courier New" w:cs="Courier New"/>
      <w:sz w:val="20"/>
    </w:rPr>
  </w:style>
  <w:style w:type="paragraph" w:styleId="739" w:customStyle="1">
    <w:name w:val="Heading"/>
    <w:basedOn w:val="723"/>
    <w:next w:val="740"/>
    <w:qFormat/>
    <w:pPr>
      <w:keepNext/>
      <w:spacing w:before="240" w:after="120"/>
    </w:pPr>
    <w:rPr>
      <w:rFonts w:ascii="Arial" w:hAnsi="Arial" w:cs="DejaVu Sans" w:eastAsia="DejaVu Sans"/>
      <w:sz w:val="28"/>
      <w:szCs w:val="28"/>
    </w:rPr>
  </w:style>
  <w:style w:type="paragraph" w:styleId="740">
    <w:name w:val="Body Text"/>
    <w:basedOn w:val="723"/>
    <w:pPr>
      <w:jc w:val="both"/>
    </w:pPr>
    <w:rPr>
      <w:sz w:val="28"/>
      <w:szCs w:val="20"/>
    </w:rPr>
  </w:style>
  <w:style w:type="paragraph" w:styleId="741">
    <w:name w:val="List"/>
    <w:basedOn w:val="740"/>
  </w:style>
  <w:style w:type="paragraph" w:styleId="742">
    <w:name w:val="Caption"/>
    <w:basedOn w:val="723"/>
    <w:qFormat/>
    <w:pPr>
      <w:spacing w:before="120" w:after="120"/>
      <w:suppressLineNumbers/>
    </w:pPr>
    <w:rPr>
      <w:i/>
      <w:iCs/>
    </w:rPr>
  </w:style>
  <w:style w:type="paragraph" w:styleId="743" w:customStyle="1">
    <w:name w:val="Index"/>
    <w:basedOn w:val="723"/>
    <w:qFormat/>
    <w:pPr>
      <w:suppressLineNumbers/>
    </w:pPr>
  </w:style>
  <w:style w:type="paragraph" w:styleId="744" w:customStyle="1">
    <w:name w:val="Header and Footer"/>
    <w:basedOn w:val="723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745">
    <w:name w:val="Header"/>
    <w:basedOn w:val="723"/>
  </w:style>
  <w:style w:type="paragraph" w:styleId="746">
    <w:name w:val="Footer"/>
    <w:basedOn w:val="723"/>
  </w:style>
  <w:style w:type="paragraph" w:styleId="747">
    <w:name w:val="Body Text Indent"/>
    <w:basedOn w:val="723"/>
    <w:pPr>
      <w:ind w:firstLine="567"/>
      <w:jc w:val="both"/>
    </w:pPr>
  </w:style>
  <w:style w:type="paragraph" w:styleId="748">
    <w:name w:val="Body Text 2"/>
    <w:basedOn w:val="723"/>
    <w:qFormat/>
    <w:pPr>
      <w:jc w:val="center"/>
    </w:pPr>
    <w:rPr>
      <w:sz w:val="18"/>
      <w:szCs w:val="18"/>
    </w:rPr>
  </w:style>
  <w:style w:type="paragraph" w:styleId="749">
    <w:name w:val="Balloon Text"/>
    <w:basedOn w:val="723"/>
    <w:qFormat/>
    <w:rPr>
      <w:rFonts w:ascii="Tahoma" w:hAnsi="Tahoma" w:cs="Tahoma"/>
      <w:sz w:val="16"/>
      <w:szCs w:val="16"/>
    </w:rPr>
  </w:style>
  <w:style w:type="paragraph" w:styleId="750">
    <w:name w:val="No Spacing"/>
    <w:qFormat/>
    <w:rPr>
      <w:rFonts w:ascii="Calibri" w:hAnsi="Calibri" w:cs="Calibri" w:eastAsia="Calibri"/>
      <w:sz w:val="22"/>
      <w:szCs w:val="22"/>
      <w:lang w:val="ru-RU" w:bidi="ar-SA"/>
    </w:rPr>
  </w:style>
  <w:style w:type="paragraph" w:styleId="751" w:customStyle="1">
    <w:name w:val="Table Contents"/>
    <w:basedOn w:val="723"/>
    <w:qFormat/>
    <w:pPr>
      <w:widowControl w:val="off"/>
      <w:suppressLineNumbers/>
    </w:pPr>
  </w:style>
  <w:style w:type="paragraph" w:styleId="752" w:customStyle="1">
    <w:name w:val="Table Heading"/>
    <w:basedOn w:val="751"/>
    <w:qFormat/>
    <w:pPr>
      <w:jc w:val="center"/>
    </w:pPr>
    <w:rPr>
      <w:b/>
      <w:bCs/>
    </w:rPr>
  </w:style>
  <w:style w:type="paragraph" w:styleId="753" w:customStyle="1">
    <w:name w:val="Frame Contents"/>
    <w:basedOn w:val="723"/>
    <w:qFormat/>
  </w:style>
  <w:style w:type="numbering" w:styleId="754" w:customStyle="1">
    <w:name w:val="WW8Num1"/>
    <w:qFormat/>
  </w:style>
  <w:style w:type="numbering" w:styleId="755" w:customStyle="1">
    <w:name w:val="WW8Num2"/>
    <w:qFormat/>
  </w:style>
  <w:style w:type="character" w:styleId="756">
    <w:name w:val="Unresolved Mention"/>
    <w:basedOn w:val="729"/>
    <w:uiPriority w:val="99"/>
    <w:semiHidden/>
    <w:unhideWhenUsed/>
    <w:rPr>
      <w:color w:val="605E5C"/>
      <w:shd w:val="clear" w:color="auto" w:fill="e1dfdd"/>
    </w:rPr>
  </w:style>
  <w:style w:type="paragraph" w:styleId="757">
    <w:name w:val="List Paragraph"/>
    <w:basedOn w:val="723"/>
    <w:uiPriority w:val="34"/>
    <w:qFormat/>
    <w:pPr>
      <w:contextualSpacing/>
      <w:ind w:left="720"/>
    </w:pPr>
    <w:rPr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jpg"/><Relationship Id="rId14" Type="http://schemas.openxmlformats.org/officeDocument/2006/relationships/image" Target="media/image2.png"/><Relationship Id="rId15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документа, выпущенного подразделением</dc:title>
  <dc:subject/>
  <dc:creator>Vladislav S. Sinepol</dc:creator>
  <cp:keywords/>
  <dc:description/>
  <dc:language>en-US</dc:language>
  <cp:revision>5</cp:revision>
  <dcterms:created xsi:type="dcterms:W3CDTF">2025-03-17T14:47:00Z</dcterms:created>
  <dcterms:modified xsi:type="dcterms:W3CDTF">2025-03-19T13:58:04Z</dcterms:modified>
</cp:coreProperties>
</file>